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A65" w:rsidRDefault="00B60A65">
      <w:pPr>
        <w:ind w:firstLine="0"/>
        <w:rPr>
          <w:color w:val="1B1B1B"/>
          <w:szCs w:val="24"/>
          <w:shd w:val="clear" w:color="auto" w:fill="FFFFFF"/>
        </w:rPr>
      </w:pPr>
    </w:p>
    <w:p w:rsidR="00B60A65" w:rsidRDefault="00B60A65">
      <w:pPr>
        <w:ind w:firstLine="0"/>
        <w:rPr>
          <w:color w:val="1B1B1B"/>
          <w:szCs w:val="24"/>
          <w:shd w:val="clear" w:color="auto" w:fill="FFFFFF"/>
        </w:rPr>
      </w:pPr>
    </w:p>
    <w:p w:rsidR="00B60A65" w:rsidRDefault="00B60A65">
      <w:pPr>
        <w:ind w:firstLine="0"/>
        <w:rPr>
          <w:color w:val="1B1B1B"/>
          <w:szCs w:val="24"/>
          <w:shd w:val="clear" w:color="auto" w:fill="FFFFFF"/>
        </w:rPr>
      </w:pPr>
    </w:p>
    <w:p w:rsidR="00B60A65" w:rsidRDefault="00F17DDA" w:rsidP="00831465">
      <w:pPr>
        <w:ind w:firstLine="0"/>
        <w:jc w:val="center"/>
        <w:rPr>
          <w:b/>
          <w:color w:val="1B1B1B"/>
          <w:szCs w:val="24"/>
          <w:shd w:val="clear" w:color="auto" w:fill="FFFFFF"/>
        </w:rPr>
      </w:pPr>
      <w:r>
        <w:rPr>
          <w:b/>
          <w:color w:val="1B1B1B"/>
          <w:szCs w:val="24"/>
          <w:shd w:val="clear" w:color="auto" w:fill="FFFFFF"/>
        </w:rPr>
        <w:t>Ethical Case Study Analysis</w:t>
      </w:r>
    </w:p>
    <w:p w:rsidR="00B60A65" w:rsidRDefault="00B60A65" w:rsidP="00831465">
      <w:pPr>
        <w:ind w:firstLine="0"/>
        <w:jc w:val="center"/>
        <w:rPr>
          <w:color w:val="1B1B1B"/>
          <w:szCs w:val="24"/>
          <w:shd w:val="clear" w:color="auto" w:fill="FFFFFF"/>
        </w:rPr>
      </w:pPr>
    </w:p>
    <w:p w:rsidR="00B60A65" w:rsidRDefault="00B60A65" w:rsidP="00831465">
      <w:pPr>
        <w:ind w:firstLine="0"/>
        <w:jc w:val="center"/>
        <w:rPr>
          <w:color w:val="1B1B1B"/>
          <w:szCs w:val="24"/>
          <w:shd w:val="clear" w:color="auto" w:fill="FFFFFF"/>
        </w:rPr>
      </w:pPr>
    </w:p>
    <w:p w:rsidR="00B60A65" w:rsidRDefault="00B60A65" w:rsidP="00831465">
      <w:pPr>
        <w:ind w:firstLine="0"/>
        <w:jc w:val="center"/>
        <w:rPr>
          <w:color w:val="1B1B1B"/>
          <w:szCs w:val="24"/>
          <w:shd w:val="clear" w:color="auto" w:fill="FFFFFF"/>
        </w:rPr>
      </w:pPr>
    </w:p>
    <w:p w:rsidR="00B60A65" w:rsidRDefault="00B60A65" w:rsidP="00A7516C">
      <w:pPr>
        <w:ind w:firstLine="0"/>
        <w:rPr>
          <w:color w:val="1B1B1B"/>
          <w:szCs w:val="24"/>
          <w:shd w:val="clear" w:color="auto" w:fill="FFFFFF"/>
        </w:rPr>
      </w:pPr>
    </w:p>
    <w:p w:rsidR="00B60A65" w:rsidRDefault="00B60A65" w:rsidP="00831465">
      <w:pPr>
        <w:ind w:firstLine="0"/>
        <w:jc w:val="center"/>
        <w:rPr>
          <w:color w:val="1B1B1B"/>
          <w:szCs w:val="24"/>
          <w:shd w:val="clear" w:color="auto" w:fill="FFFFFF"/>
        </w:rPr>
      </w:pPr>
    </w:p>
    <w:p w:rsidR="00B60A65" w:rsidRDefault="00F17DDA" w:rsidP="00831465">
      <w:pPr>
        <w:ind w:firstLine="0"/>
        <w:jc w:val="center"/>
        <w:rPr>
          <w:color w:val="1B1B1B"/>
          <w:szCs w:val="24"/>
          <w:shd w:val="clear" w:color="auto" w:fill="FFFFFF"/>
        </w:rPr>
      </w:pPr>
      <w:r>
        <w:rPr>
          <w:color w:val="1B1B1B"/>
          <w:szCs w:val="24"/>
          <w:shd w:val="clear" w:color="auto" w:fill="FFFFFF"/>
        </w:rPr>
        <w:t>Name</w:t>
      </w:r>
    </w:p>
    <w:p w:rsidR="00B60A65" w:rsidRDefault="00F17DDA" w:rsidP="00831465">
      <w:pPr>
        <w:ind w:firstLine="0"/>
        <w:jc w:val="center"/>
        <w:rPr>
          <w:color w:val="1B1B1B"/>
          <w:szCs w:val="24"/>
          <w:shd w:val="clear" w:color="auto" w:fill="FFFFFF"/>
        </w:rPr>
      </w:pPr>
      <w:r>
        <w:rPr>
          <w:color w:val="1B1B1B"/>
          <w:szCs w:val="24"/>
          <w:shd w:val="clear" w:color="auto" w:fill="FFFFFF"/>
        </w:rPr>
        <w:t>Institution</w:t>
      </w:r>
      <w:r w:rsidR="00831465">
        <w:rPr>
          <w:color w:val="1B1B1B"/>
          <w:szCs w:val="24"/>
          <w:shd w:val="clear" w:color="auto" w:fill="FFFFFF"/>
        </w:rPr>
        <w:t xml:space="preserve"> of Affiliation </w:t>
      </w:r>
    </w:p>
    <w:p w:rsidR="00B60A65" w:rsidRDefault="00F17DDA" w:rsidP="00831465">
      <w:pPr>
        <w:ind w:firstLine="0"/>
        <w:jc w:val="center"/>
        <w:rPr>
          <w:color w:val="1B1B1B"/>
          <w:szCs w:val="24"/>
          <w:shd w:val="clear" w:color="auto" w:fill="FFFFFF"/>
        </w:rPr>
      </w:pPr>
      <w:r>
        <w:rPr>
          <w:color w:val="1B1B1B"/>
          <w:szCs w:val="24"/>
          <w:shd w:val="clear" w:color="auto" w:fill="FFFFFF"/>
        </w:rPr>
        <w:t>Professor</w:t>
      </w:r>
    </w:p>
    <w:p w:rsidR="00B60A65" w:rsidRDefault="00F17DDA" w:rsidP="00831465">
      <w:pPr>
        <w:ind w:firstLine="0"/>
        <w:jc w:val="center"/>
        <w:rPr>
          <w:color w:val="1B1B1B"/>
          <w:szCs w:val="24"/>
          <w:shd w:val="clear" w:color="auto" w:fill="FFFFFF"/>
        </w:rPr>
      </w:pPr>
      <w:r>
        <w:rPr>
          <w:color w:val="1B1B1B"/>
          <w:szCs w:val="24"/>
          <w:shd w:val="clear" w:color="auto" w:fill="FFFFFF"/>
        </w:rPr>
        <w:t>Date</w:t>
      </w:r>
    </w:p>
    <w:p w:rsidR="00B60A65" w:rsidRDefault="00B60A65">
      <w:pPr>
        <w:jc w:val="center"/>
        <w:rPr>
          <w:color w:val="1B1B1B"/>
          <w:szCs w:val="24"/>
          <w:shd w:val="clear" w:color="auto" w:fill="FFFFFF"/>
        </w:rPr>
      </w:pPr>
    </w:p>
    <w:p w:rsidR="00B60A65" w:rsidRDefault="00B60A65">
      <w:pPr>
        <w:rPr>
          <w:color w:val="1B1B1B"/>
          <w:szCs w:val="24"/>
          <w:shd w:val="clear" w:color="auto" w:fill="FFFFFF"/>
        </w:rPr>
      </w:pPr>
    </w:p>
    <w:p w:rsidR="00B60A65" w:rsidRDefault="00B60A65">
      <w:pPr>
        <w:rPr>
          <w:color w:val="1B1B1B"/>
          <w:szCs w:val="24"/>
          <w:shd w:val="clear" w:color="auto" w:fill="FFFFFF"/>
        </w:rPr>
      </w:pPr>
    </w:p>
    <w:p w:rsidR="00B60A65" w:rsidRDefault="00B60A65">
      <w:pPr>
        <w:rPr>
          <w:color w:val="1B1B1B"/>
          <w:szCs w:val="24"/>
          <w:shd w:val="clear" w:color="auto" w:fill="FFFFFF"/>
        </w:rPr>
      </w:pPr>
    </w:p>
    <w:p w:rsidR="00B60A65" w:rsidRDefault="00B60A65">
      <w:pPr>
        <w:rPr>
          <w:color w:val="1B1B1B"/>
          <w:szCs w:val="24"/>
          <w:shd w:val="clear" w:color="auto" w:fill="FFFFFF"/>
        </w:rPr>
      </w:pPr>
    </w:p>
    <w:p w:rsidR="00B60A65" w:rsidRDefault="00B60A65">
      <w:pPr>
        <w:rPr>
          <w:color w:val="1B1B1B"/>
          <w:szCs w:val="24"/>
          <w:shd w:val="clear" w:color="auto" w:fill="FFFFFF"/>
        </w:rPr>
      </w:pPr>
    </w:p>
    <w:p w:rsidR="00B60A65" w:rsidRDefault="00B60A65">
      <w:pPr>
        <w:rPr>
          <w:color w:val="1B1B1B"/>
          <w:szCs w:val="24"/>
          <w:shd w:val="clear" w:color="auto" w:fill="FFFFFF"/>
        </w:rPr>
      </w:pPr>
    </w:p>
    <w:p w:rsidR="00B60A65" w:rsidRDefault="00B60A65">
      <w:pPr>
        <w:rPr>
          <w:color w:val="1B1B1B"/>
          <w:szCs w:val="24"/>
          <w:shd w:val="clear" w:color="auto" w:fill="FFFFFF"/>
        </w:rPr>
      </w:pPr>
    </w:p>
    <w:p w:rsidR="00A7516C" w:rsidRDefault="00A7516C">
      <w:pPr>
        <w:rPr>
          <w:color w:val="1B1B1B"/>
          <w:szCs w:val="24"/>
          <w:shd w:val="clear" w:color="auto" w:fill="FFFFFF"/>
        </w:rPr>
      </w:pPr>
    </w:p>
    <w:p w:rsidR="00A7516C" w:rsidRDefault="00A7516C">
      <w:pPr>
        <w:rPr>
          <w:color w:val="1B1B1B"/>
          <w:szCs w:val="24"/>
          <w:shd w:val="clear" w:color="auto" w:fill="FFFFFF"/>
        </w:rPr>
      </w:pPr>
      <w:bookmarkStart w:id="0" w:name="_GoBack"/>
      <w:bookmarkEnd w:id="0"/>
    </w:p>
    <w:p w:rsidR="00B60A65" w:rsidRDefault="00F17DDA">
      <w:pPr>
        <w:ind w:firstLine="284"/>
        <w:jc w:val="center"/>
        <w:rPr>
          <w:b/>
          <w:color w:val="1B1B1B"/>
          <w:szCs w:val="24"/>
          <w:shd w:val="clear" w:color="auto" w:fill="FFFFFF"/>
        </w:rPr>
      </w:pPr>
      <w:r>
        <w:rPr>
          <w:b/>
          <w:color w:val="1B1B1B"/>
          <w:szCs w:val="24"/>
          <w:shd w:val="clear" w:color="auto" w:fill="FFFFFF"/>
        </w:rPr>
        <w:lastRenderedPageBreak/>
        <w:t>Ethical Case Study Analysis</w:t>
      </w:r>
    </w:p>
    <w:p w:rsidR="00B60A65" w:rsidRDefault="00F17DDA">
      <w:pPr>
        <w:ind w:firstLine="284"/>
        <w:jc w:val="center"/>
        <w:rPr>
          <w:b/>
          <w:color w:val="1D1D1D"/>
          <w:szCs w:val="24"/>
          <w:shd w:val="clear" w:color="auto" w:fill="FFFFFF"/>
        </w:rPr>
      </w:pPr>
      <w:r>
        <w:rPr>
          <w:b/>
          <w:color w:val="1D1D1D"/>
          <w:szCs w:val="24"/>
          <w:shd w:val="clear" w:color="auto" w:fill="FFFFFF"/>
        </w:rPr>
        <w:t>Part One</w:t>
      </w:r>
    </w:p>
    <w:p w:rsidR="00B60A65" w:rsidRDefault="00F17DDA">
      <w:pPr>
        <w:ind w:left="284" w:hanging="284"/>
        <w:jc w:val="center"/>
        <w:rPr>
          <w:b/>
          <w:color w:val="1D1D1D"/>
          <w:szCs w:val="24"/>
          <w:shd w:val="clear" w:color="auto" w:fill="FFFFFF"/>
        </w:rPr>
      </w:pPr>
      <w:r>
        <w:rPr>
          <w:b/>
          <w:color w:val="1D1D1D"/>
          <w:szCs w:val="24"/>
          <w:shd w:val="clear" w:color="auto" w:fill="FFFFFF"/>
        </w:rPr>
        <w:t xml:space="preserve">The Balance between Providing Opportunity and the Unethical Activity in Doing So Based on Paul </w:t>
      </w:r>
      <w:proofErr w:type="spellStart"/>
      <w:r>
        <w:rPr>
          <w:b/>
          <w:color w:val="1D1D1D"/>
          <w:szCs w:val="24"/>
          <w:shd w:val="clear" w:color="auto" w:fill="FFFFFF"/>
        </w:rPr>
        <w:t>Hornung’s</w:t>
      </w:r>
      <w:proofErr w:type="spellEnd"/>
      <w:r>
        <w:rPr>
          <w:b/>
          <w:color w:val="1D1D1D"/>
          <w:szCs w:val="24"/>
          <w:shd w:val="clear" w:color="auto" w:fill="FFFFFF"/>
        </w:rPr>
        <w:t xml:space="preserve"> Case</w:t>
      </w:r>
    </w:p>
    <w:p w:rsidR="00B60A65" w:rsidRDefault="00F17DDA" w:rsidP="00177F11">
      <w:pPr>
        <w:rPr>
          <w:color w:val="1D1D1D"/>
          <w:szCs w:val="24"/>
          <w:shd w:val="clear" w:color="auto" w:fill="FFFFFF"/>
        </w:rPr>
      </w:pPr>
      <w:r>
        <w:rPr>
          <w:color w:val="1D1D1D"/>
          <w:szCs w:val="24"/>
          <w:shd w:val="clear" w:color="auto" w:fill="FFFFFF"/>
        </w:rPr>
        <w:t xml:space="preserve">It was legal and well thought </w:t>
      </w:r>
      <w:r>
        <w:rPr>
          <w:color w:val="1D1D1D"/>
          <w:szCs w:val="24"/>
          <w:shd w:val="clear" w:color="auto" w:fill="FFFFFF"/>
        </w:rPr>
        <w:t xml:space="preserve">of for </w:t>
      </w:r>
      <w:proofErr w:type="spellStart"/>
      <w:r>
        <w:rPr>
          <w:color w:val="1D1D1D"/>
          <w:szCs w:val="24"/>
          <w:shd w:val="clear" w:color="auto" w:fill="FFFFFF"/>
        </w:rPr>
        <w:t>Hornung</w:t>
      </w:r>
      <w:proofErr w:type="spellEnd"/>
      <w:r>
        <w:rPr>
          <w:color w:val="1D1D1D"/>
          <w:szCs w:val="24"/>
          <w:shd w:val="clear" w:color="auto" w:fill="FFFFFF"/>
        </w:rPr>
        <w:t xml:space="preserve"> to have argued that the Corvette</w:t>
      </w:r>
      <w:r>
        <w:rPr>
          <w:color w:val="1D1D1D"/>
          <w:szCs w:val="24"/>
          <w:shd w:val="clear" w:color="auto" w:fill="FFFFFF"/>
        </w:rPr>
        <w:t>,</w:t>
      </w:r>
      <w:r>
        <w:rPr>
          <w:color w:val="1D1D1D"/>
          <w:szCs w:val="24"/>
          <w:shd w:val="clear" w:color="auto" w:fill="FFFFFF"/>
        </w:rPr>
        <w:t xml:space="preserve"> which was given to him as a gift for his exemplary performance</w:t>
      </w:r>
      <w:r>
        <w:rPr>
          <w:color w:val="1D1D1D"/>
          <w:szCs w:val="24"/>
          <w:shd w:val="clear" w:color="auto" w:fill="FFFFFF"/>
        </w:rPr>
        <w:t>,</w:t>
      </w:r>
      <w:r>
        <w:rPr>
          <w:color w:val="1D1D1D"/>
          <w:szCs w:val="24"/>
          <w:shd w:val="clear" w:color="auto" w:fill="FFFFFF"/>
        </w:rPr>
        <w:t xml:space="preserve"> should be exempted from federal tax. The fact that it was also received in 1961 did not make any sense for the gift to be taxed in 1962.  Howev</w:t>
      </w:r>
      <w:r>
        <w:rPr>
          <w:color w:val="1D1D1D"/>
          <w:szCs w:val="24"/>
          <w:shd w:val="clear" w:color="auto" w:fill="FFFFFF"/>
        </w:rPr>
        <w:t>er, according to Section 451 of the Internal Revenue Code, any amount of any items that have a gross income should be included for the taxable year in which the items are received by the person expected to pay the taxes. It would, therefore, have been fair</w:t>
      </w:r>
      <w:r>
        <w:rPr>
          <w:color w:val="1D1D1D"/>
          <w:szCs w:val="24"/>
          <w:shd w:val="clear" w:color="auto" w:fill="FFFFFF"/>
        </w:rPr>
        <w:t xml:space="preserve"> if </w:t>
      </w:r>
      <w:proofErr w:type="spellStart"/>
      <w:r>
        <w:rPr>
          <w:color w:val="1D1D1D"/>
          <w:szCs w:val="24"/>
          <w:shd w:val="clear" w:color="auto" w:fill="FFFFFF"/>
        </w:rPr>
        <w:t>Hornung’s</w:t>
      </w:r>
      <w:proofErr w:type="spellEnd"/>
      <w:r>
        <w:rPr>
          <w:color w:val="1D1D1D"/>
          <w:szCs w:val="24"/>
          <w:shd w:val="clear" w:color="auto" w:fill="FFFFFF"/>
        </w:rPr>
        <w:t xml:space="preserve"> gift was subjected to federal tax in 1961 since it was the year in which </w:t>
      </w:r>
      <w:proofErr w:type="spellStart"/>
      <w:r>
        <w:rPr>
          <w:color w:val="1D1D1D"/>
          <w:szCs w:val="24"/>
          <w:shd w:val="clear" w:color="auto" w:fill="FFFFFF"/>
        </w:rPr>
        <w:t>Hornung</w:t>
      </w:r>
      <w:proofErr w:type="spellEnd"/>
      <w:r>
        <w:rPr>
          <w:color w:val="1D1D1D"/>
          <w:szCs w:val="24"/>
          <w:shd w:val="clear" w:color="auto" w:fill="FFFFFF"/>
        </w:rPr>
        <w:t xml:space="preserve"> constructively received the gift.  It was therefore unlawful according to this section for </w:t>
      </w:r>
      <w:proofErr w:type="spellStart"/>
      <w:r>
        <w:rPr>
          <w:color w:val="1D1D1D"/>
          <w:szCs w:val="24"/>
          <w:shd w:val="clear" w:color="auto" w:fill="FFFFFF"/>
        </w:rPr>
        <w:t>Hornung’s</w:t>
      </w:r>
      <w:proofErr w:type="spellEnd"/>
      <w:r>
        <w:rPr>
          <w:color w:val="1D1D1D"/>
          <w:szCs w:val="24"/>
          <w:shd w:val="clear" w:color="auto" w:fill="FFFFFF"/>
        </w:rPr>
        <w:t xml:space="preserve"> gift as much as it was of gross income, to be subjected to f</w:t>
      </w:r>
      <w:r>
        <w:rPr>
          <w:color w:val="1D1D1D"/>
          <w:szCs w:val="24"/>
          <w:shd w:val="clear" w:color="auto" w:fill="FFFFFF"/>
        </w:rPr>
        <w:t xml:space="preserve">ederal tax in 1962; a year later after the gift was given and received. </w:t>
      </w:r>
    </w:p>
    <w:p w:rsidR="00B60A65" w:rsidRDefault="00F17DDA" w:rsidP="00177F11">
      <w:pPr>
        <w:rPr>
          <w:color w:val="1D1D1D"/>
          <w:szCs w:val="24"/>
          <w:shd w:val="clear" w:color="auto" w:fill="FFFFFF"/>
        </w:rPr>
      </w:pPr>
      <w:r>
        <w:rPr>
          <w:szCs w:val="24"/>
        </w:rPr>
        <w:t xml:space="preserve">According to </w:t>
      </w:r>
      <w:hyperlink r:id="rId8" w:history="1">
        <w:r>
          <w:rPr>
            <w:rStyle w:val="Hyperlink"/>
            <w:szCs w:val="24"/>
            <w:shd w:val="clear" w:color="auto" w:fill="FFFFFF"/>
          </w:rPr>
          <w:t>https://www.latimes.com/archives/la-xpm-1985-02-03-sp-13402-story.html?_amp=</w:t>
        </w:r>
        <w:r>
          <w:rPr>
            <w:rStyle w:val="Hyperlink"/>
            <w:szCs w:val="24"/>
            <w:shd w:val="clear" w:color="auto" w:fill="FFFFFF"/>
          </w:rPr>
          <w:t>true</w:t>
        </w:r>
      </w:hyperlink>
      <w:r>
        <w:rPr>
          <w:color w:val="505151"/>
          <w:szCs w:val="24"/>
          <w:shd w:val="clear" w:color="auto" w:fill="FFFFFF"/>
        </w:rPr>
        <w:t xml:space="preserve">, </w:t>
      </w:r>
      <w:r>
        <w:rPr>
          <w:color w:val="1D1D1D"/>
          <w:szCs w:val="24"/>
          <w:shd w:val="clear" w:color="auto" w:fill="FFFFFF"/>
        </w:rPr>
        <w:t xml:space="preserve">Horning had also appropriately utilized the cash receipts method. The legal requirements for using this method require that items that constitute a gross income should be included for the taxable year within which they are actually received or </w:t>
      </w:r>
      <w:r>
        <w:rPr>
          <w:color w:val="1D1D1D"/>
          <w:szCs w:val="24"/>
          <w:shd w:val="clear" w:color="auto" w:fill="FFFFFF"/>
        </w:rPr>
        <w:t xml:space="preserve">constructively received. This provision under the same Section 451 of the revenue code was thus used by the court to argue for </w:t>
      </w:r>
      <w:proofErr w:type="spellStart"/>
      <w:r>
        <w:rPr>
          <w:color w:val="1D1D1D"/>
          <w:szCs w:val="24"/>
          <w:shd w:val="clear" w:color="auto" w:fill="FFFFFF"/>
        </w:rPr>
        <w:t>Hornung's</w:t>
      </w:r>
      <w:proofErr w:type="spellEnd"/>
      <w:r>
        <w:rPr>
          <w:color w:val="1D1D1D"/>
          <w:szCs w:val="24"/>
          <w:shd w:val="clear" w:color="auto" w:fill="FFFFFF"/>
        </w:rPr>
        <w:t xml:space="preserve"> taxation. Horning should</w:t>
      </w:r>
      <w:r>
        <w:rPr>
          <w:color w:val="1D1D1D"/>
          <w:szCs w:val="24"/>
          <w:shd w:val="clear" w:color="auto" w:fill="FFFFFF"/>
        </w:rPr>
        <w:t>,</w:t>
      </w:r>
      <w:r>
        <w:rPr>
          <w:color w:val="1D1D1D"/>
          <w:szCs w:val="24"/>
          <w:shd w:val="clear" w:color="auto" w:fill="FFFFFF"/>
        </w:rPr>
        <w:t xml:space="preserve"> however</w:t>
      </w:r>
      <w:r>
        <w:rPr>
          <w:color w:val="1D1D1D"/>
          <w:szCs w:val="24"/>
          <w:shd w:val="clear" w:color="auto" w:fill="FFFFFF"/>
        </w:rPr>
        <w:t>,</w:t>
      </w:r>
      <w:r>
        <w:rPr>
          <w:color w:val="1D1D1D"/>
          <w:szCs w:val="24"/>
          <w:shd w:val="clear" w:color="auto" w:fill="FFFFFF"/>
        </w:rPr>
        <w:t xml:space="preserve"> been exempted from the federal tax because under section 74(a) of the tax code (26 U</w:t>
      </w:r>
      <w:r>
        <w:rPr>
          <w:color w:val="1D1D1D"/>
          <w:szCs w:val="24"/>
          <w:shd w:val="clear" w:color="auto" w:fill="FFFFFF"/>
        </w:rPr>
        <w:t xml:space="preserve">.S.C. 74(a), </w:t>
      </w:r>
      <w:proofErr w:type="spellStart"/>
      <w:r>
        <w:rPr>
          <w:color w:val="1D1D1D"/>
          <w:szCs w:val="24"/>
          <w:shd w:val="clear" w:color="auto" w:fill="FFFFFF"/>
        </w:rPr>
        <w:t>Hornung</w:t>
      </w:r>
      <w:proofErr w:type="spellEnd"/>
      <w:r>
        <w:rPr>
          <w:color w:val="1D1D1D"/>
          <w:szCs w:val="24"/>
          <w:shd w:val="clear" w:color="auto" w:fill="FFFFFF"/>
        </w:rPr>
        <w:t xml:space="preserve"> qualified for the prize</w:t>
      </w:r>
      <w:r>
        <w:rPr>
          <w:color w:val="1D1D1D"/>
          <w:szCs w:val="24"/>
          <w:shd w:val="clear" w:color="auto" w:fill="FFFFFF"/>
        </w:rPr>
        <w:t>,</w:t>
      </w:r>
      <w:r>
        <w:rPr>
          <w:color w:val="1D1D1D"/>
          <w:szCs w:val="24"/>
          <w:shd w:val="clear" w:color="auto" w:fill="FFFFFF"/>
        </w:rPr>
        <w:t xml:space="preserve"> which in this case</w:t>
      </w:r>
      <w:r>
        <w:rPr>
          <w:color w:val="1D1D1D"/>
          <w:szCs w:val="24"/>
          <w:shd w:val="clear" w:color="auto" w:fill="FFFFFF"/>
        </w:rPr>
        <w:t>,</w:t>
      </w:r>
      <w:r>
        <w:rPr>
          <w:color w:val="1D1D1D"/>
          <w:szCs w:val="24"/>
          <w:shd w:val="clear" w:color="auto" w:fill="FFFFFF"/>
        </w:rPr>
        <w:t xml:space="preserve"> was the Corvette. As regards the Thunderbirds issues, </w:t>
      </w:r>
      <w:proofErr w:type="spellStart"/>
      <w:r>
        <w:rPr>
          <w:color w:val="1D1D1D"/>
          <w:szCs w:val="24"/>
          <w:shd w:val="clear" w:color="auto" w:fill="FFFFFF"/>
        </w:rPr>
        <w:t>Hornung’s</w:t>
      </w:r>
      <w:proofErr w:type="spellEnd"/>
      <w:r>
        <w:rPr>
          <w:color w:val="1D1D1D"/>
          <w:szCs w:val="24"/>
          <w:shd w:val="clear" w:color="auto" w:fill="FFFFFF"/>
        </w:rPr>
        <w:t xml:space="preserve"> argument on the use of the Thunderbirds being a gift under section 102 was legitimate. Horning was therefore </w:t>
      </w:r>
      <w:r>
        <w:rPr>
          <w:color w:val="1D1D1D"/>
          <w:szCs w:val="24"/>
          <w:shd w:val="clear" w:color="auto" w:fill="FFFFFF"/>
        </w:rPr>
        <w:lastRenderedPageBreak/>
        <w:t xml:space="preserve">not obligated to </w:t>
      </w:r>
      <w:r>
        <w:rPr>
          <w:color w:val="1D1D1D"/>
          <w:szCs w:val="24"/>
          <w:shd w:val="clear" w:color="auto" w:fill="FFFFFF"/>
        </w:rPr>
        <w:t xml:space="preserve">perform any services and activities to use the cars. This is in line with the provision of a gift under the same section. Since </w:t>
      </w:r>
      <w:proofErr w:type="spellStart"/>
      <w:r>
        <w:rPr>
          <w:color w:val="1D1D1D"/>
          <w:szCs w:val="24"/>
          <w:shd w:val="clear" w:color="auto" w:fill="FFFFFF"/>
        </w:rPr>
        <w:t>Hornung</w:t>
      </w:r>
      <w:proofErr w:type="spellEnd"/>
      <w:r>
        <w:rPr>
          <w:color w:val="1D1D1D"/>
          <w:szCs w:val="24"/>
          <w:shd w:val="clear" w:color="auto" w:fill="FFFFFF"/>
        </w:rPr>
        <w:t xml:space="preserve"> acknowledged this fact and was ready to abide by it, he should not have been subjected to the federal tax. </w:t>
      </w:r>
    </w:p>
    <w:p w:rsidR="00B60A65" w:rsidRDefault="00F17DDA" w:rsidP="00177F11">
      <w:pPr>
        <w:rPr>
          <w:color w:val="505151"/>
          <w:szCs w:val="24"/>
          <w:shd w:val="clear" w:color="auto" w:fill="FFFFFF"/>
        </w:rPr>
      </w:pPr>
      <w:r>
        <w:rPr>
          <w:color w:val="1D1D1D"/>
          <w:szCs w:val="24"/>
          <w:shd w:val="clear" w:color="auto" w:fill="FFFFFF"/>
        </w:rPr>
        <w:t xml:space="preserve">The court’s </w:t>
      </w:r>
      <w:r>
        <w:rPr>
          <w:color w:val="1D1D1D"/>
          <w:szCs w:val="24"/>
          <w:shd w:val="clear" w:color="auto" w:fill="FFFFFF"/>
        </w:rPr>
        <w:t xml:space="preserve">focus on the dealership intentions while making the loan, was unfair to </w:t>
      </w:r>
      <w:proofErr w:type="spellStart"/>
      <w:r>
        <w:rPr>
          <w:color w:val="1D1D1D"/>
          <w:szCs w:val="24"/>
          <w:shd w:val="clear" w:color="auto" w:fill="FFFFFF"/>
        </w:rPr>
        <w:t>Hornung</w:t>
      </w:r>
      <w:proofErr w:type="spellEnd"/>
      <w:r>
        <w:rPr>
          <w:color w:val="1D1D1D"/>
          <w:szCs w:val="24"/>
          <w:shd w:val="clear" w:color="auto" w:fill="FFFFFF"/>
        </w:rPr>
        <w:t xml:space="preserve"> since he had already been given the opportunity to do so.  It was therefore unethical for the court to have determined that </w:t>
      </w:r>
      <w:proofErr w:type="spellStart"/>
      <w:r>
        <w:rPr>
          <w:color w:val="1D1D1D"/>
          <w:szCs w:val="24"/>
          <w:shd w:val="clear" w:color="auto" w:fill="FFFFFF"/>
        </w:rPr>
        <w:t>Hornung</w:t>
      </w:r>
      <w:proofErr w:type="spellEnd"/>
      <w:r>
        <w:rPr>
          <w:color w:val="1D1D1D"/>
          <w:szCs w:val="24"/>
          <w:shd w:val="clear" w:color="auto" w:fill="FFFFFF"/>
        </w:rPr>
        <w:t xml:space="preserve"> had not proven sufficiently that the cars he</w:t>
      </w:r>
      <w:r>
        <w:rPr>
          <w:color w:val="1D1D1D"/>
          <w:szCs w:val="24"/>
          <w:shd w:val="clear" w:color="auto" w:fill="FFFFFF"/>
        </w:rPr>
        <w:t xml:space="preserve"> was loaned were given following a detached and disinterested generosity. It was also unethical for the court to have ruled that </w:t>
      </w:r>
      <w:proofErr w:type="spellStart"/>
      <w:r>
        <w:rPr>
          <w:color w:val="1D1D1D"/>
          <w:szCs w:val="24"/>
          <w:shd w:val="clear" w:color="auto" w:fill="FFFFFF"/>
        </w:rPr>
        <w:t>Hornung’s</w:t>
      </w:r>
      <w:proofErr w:type="spellEnd"/>
      <w:r>
        <w:rPr>
          <w:color w:val="1D1D1D"/>
          <w:szCs w:val="24"/>
          <w:shd w:val="clear" w:color="auto" w:fill="FFFFFF"/>
        </w:rPr>
        <w:t xml:space="preserve"> gift was liable for taxation because it provided undeniable access to wealth as </w:t>
      </w:r>
      <w:proofErr w:type="spellStart"/>
      <w:r>
        <w:rPr>
          <w:color w:val="1D1D1D"/>
          <w:szCs w:val="24"/>
          <w:shd w:val="clear" w:color="auto" w:fill="FFFFFF"/>
        </w:rPr>
        <w:t>Hornung</w:t>
      </w:r>
      <w:proofErr w:type="spellEnd"/>
      <w:r>
        <w:rPr>
          <w:color w:val="1D1D1D"/>
          <w:szCs w:val="24"/>
          <w:shd w:val="clear" w:color="auto" w:fill="FFFFFF"/>
        </w:rPr>
        <w:t xml:space="preserve"> had complete control over it.</w:t>
      </w:r>
      <w:r>
        <w:rPr>
          <w:color w:val="1D1D1D"/>
          <w:szCs w:val="24"/>
          <w:shd w:val="clear" w:color="auto" w:fill="FFFFFF"/>
        </w:rPr>
        <w:t xml:space="preserve"> I also think it was fair for the court to have ruled that because the Stole was received by </w:t>
      </w:r>
      <w:proofErr w:type="spellStart"/>
      <w:r>
        <w:rPr>
          <w:color w:val="1D1D1D"/>
          <w:szCs w:val="24"/>
          <w:shd w:val="clear" w:color="auto" w:fill="FFFFFF"/>
        </w:rPr>
        <w:t>Hornung’s</w:t>
      </w:r>
      <w:proofErr w:type="spellEnd"/>
      <w:r>
        <w:rPr>
          <w:color w:val="1D1D1D"/>
          <w:szCs w:val="24"/>
          <w:shd w:val="clear" w:color="auto" w:fill="FFFFFF"/>
        </w:rPr>
        <w:t xml:space="preserve"> mother in 1961</w:t>
      </w:r>
      <w:r>
        <w:rPr>
          <w:color w:val="1D1D1D"/>
          <w:szCs w:val="24"/>
          <w:shd w:val="clear" w:color="auto" w:fill="FFFFFF"/>
        </w:rPr>
        <w:t>,</w:t>
      </w:r>
      <w:r>
        <w:rPr>
          <w:color w:val="1D1D1D"/>
          <w:szCs w:val="24"/>
          <w:shd w:val="clear" w:color="auto" w:fill="FFFFFF"/>
        </w:rPr>
        <w:t xml:space="preserve"> </w:t>
      </w:r>
      <w:r>
        <w:rPr>
          <w:color w:val="1D1D1D"/>
          <w:szCs w:val="24"/>
          <w:shd w:val="clear" w:color="auto" w:fill="FFFFFF"/>
        </w:rPr>
        <w:t xml:space="preserve">it </w:t>
      </w:r>
      <w:r>
        <w:rPr>
          <w:color w:val="1D1D1D"/>
          <w:szCs w:val="24"/>
          <w:shd w:val="clear" w:color="auto" w:fill="FFFFFF"/>
        </w:rPr>
        <w:t>was not liable for a taxable gross income. This decision is supported under section 61 of the tax code</w:t>
      </w:r>
      <w:r>
        <w:rPr>
          <w:color w:val="1D1D1D"/>
          <w:szCs w:val="24"/>
          <w:shd w:val="clear" w:color="auto" w:fill="FFFFFF"/>
        </w:rPr>
        <w:t>,</w:t>
      </w:r>
      <w:r>
        <w:rPr>
          <w:color w:val="1D1D1D"/>
          <w:szCs w:val="24"/>
          <w:shd w:val="clear" w:color="auto" w:fill="FFFFFF"/>
        </w:rPr>
        <w:t xml:space="preserve"> which views gifts that do not </w:t>
      </w:r>
      <w:r>
        <w:rPr>
          <w:color w:val="1D1D1D"/>
          <w:szCs w:val="24"/>
          <w:shd w:val="clear" w:color="auto" w:fill="FFFFFF"/>
        </w:rPr>
        <w:t>constitute income</w:t>
      </w:r>
      <w:r>
        <w:rPr>
          <w:color w:val="1D1D1D"/>
          <w:szCs w:val="24"/>
          <w:shd w:val="clear" w:color="auto" w:fill="FFFFFF"/>
        </w:rPr>
        <w:t>,</w:t>
      </w:r>
      <w:r>
        <w:rPr>
          <w:color w:val="1D1D1D"/>
          <w:szCs w:val="24"/>
          <w:shd w:val="clear" w:color="auto" w:fill="FFFFFF"/>
        </w:rPr>
        <w:t xml:space="preserve"> should not be taxed (Newman, 1981).</w:t>
      </w:r>
    </w:p>
    <w:p w:rsidR="00831465" w:rsidRDefault="00F17DDA" w:rsidP="00831465">
      <w:pPr>
        <w:ind w:left="284" w:hanging="284"/>
        <w:jc w:val="center"/>
        <w:rPr>
          <w:b/>
          <w:color w:val="1D1D1D"/>
          <w:szCs w:val="24"/>
          <w:shd w:val="clear" w:color="auto" w:fill="FFFFFF"/>
        </w:rPr>
      </w:pPr>
      <w:r>
        <w:rPr>
          <w:b/>
          <w:color w:val="1D1D1D"/>
          <w:szCs w:val="24"/>
          <w:shd w:val="clear" w:color="auto" w:fill="FFFFFF"/>
        </w:rPr>
        <w:t>How the Ethical Issues of Fairness and Accountability Surrounding Academics and</w:t>
      </w:r>
    </w:p>
    <w:p w:rsidR="00831465" w:rsidRDefault="00F17DDA" w:rsidP="00831465">
      <w:pPr>
        <w:ind w:left="284" w:hanging="284"/>
        <w:jc w:val="center"/>
        <w:rPr>
          <w:b/>
          <w:color w:val="1D1D1D"/>
          <w:szCs w:val="24"/>
          <w:shd w:val="clear" w:color="auto" w:fill="FFFFFF"/>
        </w:rPr>
      </w:pPr>
      <w:r>
        <w:rPr>
          <w:b/>
          <w:color w:val="1D1D1D"/>
          <w:szCs w:val="24"/>
          <w:shd w:val="clear" w:color="auto" w:fill="FFFFFF"/>
        </w:rPr>
        <w:t>Athletics Apply In High School Athletics In Light Of the 1988 Dallas Carter Football</w:t>
      </w:r>
    </w:p>
    <w:p w:rsidR="00B60A65" w:rsidRDefault="00F17DDA" w:rsidP="00831465">
      <w:pPr>
        <w:ind w:left="284" w:hanging="284"/>
        <w:jc w:val="center"/>
        <w:rPr>
          <w:b/>
          <w:color w:val="1D1D1D"/>
          <w:szCs w:val="24"/>
          <w:shd w:val="clear" w:color="auto" w:fill="FFFFFF"/>
        </w:rPr>
      </w:pPr>
      <w:r>
        <w:rPr>
          <w:b/>
          <w:color w:val="1D1D1D"/>
          <w:szCs w:val="24"/>
          <w:shd w:val="clear" w:color="auto" w:fill="FFFFFF"/>
        </w:rPr>
        <w:t>Championship Team</w:t>
      </w:r>
    </w:p>
    <w:p w:rsidR="00B60A65" w:rsidRDefault="00F17DDA" w:rsidP="00177F11">
      <w:pPr>
        <w:rPr>
          <w:color w:val="1D1D1D"/>
          <w:szCs w:val="24"/>
          <w:shd w:val="clear" w:color="auto" w:fill="FFFFFF"/>
        </w:rPr>
      </w:pPr>
      <w:r>
        <w:rPr>
          <w:color w:val="1D1D1D"/>
          <w:szCs w:val="24"/>
          <w:shd w:val="clear" w:color="auto" w:fill="FFFFFF"/>
        </w:rPr>
        <w:t>It is unethical fo</w:t>
      </w:r>
      <w:r>
        <w:rPr>
          <w:color w:val="1D1D1D"/>
          <w:szCs w:val="24"/>
          <w:shd w:val="clear" w:color="auto" w:fill="FFFFFF"/>
        </w:rPr>
        <w:t>r scholarships to be awarded to students who participate in athletics in terms of racial identities. All the students should be treated fairly both regarding their academic performances and their athletic performances. The questioning of Carter’s algebra g</w:t>
      </w:r>
      <w:r>
        <w:rPr>
          <w:color w:val="1D1D1D"/>
          <w:szCs w:val="24"/>
          <w:shd w:val="clear" w:color="auto" w:fill="FFFFFF"/>
        </w:rPr>
        <w:t>rade during the season’s playoffs was</w:t>
      </w:r>
      <w:r>
        <w:rPr>
          <w:color w:val="1D1D1D"/>
          <w:szCs w:val="24"/>
          <w:shd w:val="clear" w:color="auto" w:fill="FFFFFF"/>
        </w:rPr>
        <w:t>,</w:t>
      </w:r>
      <w:r>
        <w:rPr>
          <w:color w:val="1D1D1D"/>
          <w:szCs w:val="24"/>
          <w:shd w:val="clear" w:color="auto" w:fill="FFFFFF"/>
        </w:rPr>
        <w:t xml:space="preserve"> therefore</w:t>
      </w:r>
      <w:r>
        <w:rPr>
          <w:color w:val="1D1D1D"/>
          <w:szCs w:val="24"/>
          <w:shd w:val="clear" w:color="auto" w:fill="FFFFFF"/>
        </w:rPr>
        <w:t>,</w:t>
      </w:r>
      <w:r>
        <w:rPr>
          <w:color w:val="1D1D1D"/>
          <w:szCs w:val="24"/>
          <w:shd w:val="clear" w:color="auto" w:fill="FFFFFF"/>
        </w:rPr>
        <w:t xml:space="preserve"> unfair. In my opinion, this question was </w:t>
      </w:r>
      <w:proofErr w:type="spellStart"/>
      <w:r>
        <w:rPr>
          <w:color w:val="1D1D1D"/>
          <w:szCs w:val="24"/>
          <w:shd w:val="clear" w:color="auto" w:fill="FFFFFF"/>
        </w:rPr>
        <w:t>fuelled</w:t>
      </w:r>
      <w:proofErr w:type="spellEnd"/>
      <w:r>
        <w:rPr>
          <w:color w:val="1D1D1D"/>
          <w:szCs w:val="24"/>
          <w:shd w:val="clear" w:color="auto" w:fill="FFFFFF"/>
        </w:rPr>
        <w:t xml:space="preserve"> by the racial identity of Carter as </w:t>
      </w:r>
      <w:r>
        <w:rPr>
          <w:color w:val="1D1D1D"/>
          <w:szCs w:val="24"/>
          <w:shd w:val="clear" w:color="auto" w:fill="FFFFFF"/>
        </w:rPr>
        <w:t>t</w:t>
      </w:r>
      <w:r>
        <w:rPr>
          <w:color w:val="1D1D1D"/>
          <w:szCs w:val="24"/>
          <w:shd w:val="clear" w:color="auto" w:fill="FFFFFF"/>
        </w:rPr>
        <w:t>he</w:t>
      </w:r>
      <w:r>
        <w:rPr>
          <w:color w:val="1D1D1D"/>
          <w:szCs w:val="24"/>
          <w:shd w:val="clear" w:color="auto" w:fill="FFFFFF"/>
        </w:rPr>
        <w:t>y</w:t>
      </w:r>
      <w:r>
        <w:rPr>
          <w:color w:val="1D1D1D"/>
          <w:szCs w:val="24"/>
          <w:shd w:val="clear" w:color="auto" w:fill="FFFFFF"/>
        </w:rPr>
        <w:t xml:space="preserve"> w</w:t>
      </w:r>
      <w:r>
        <w:rPr>
          <w:color w:val="1D1D1D"/>
          <w:szCs w:val="24"/>
          <w:shd w:val="clear" w:color="auto" w:fill="FFFFFF"/>
        </w:rPr>
        <w:t>ere</w:t>
      </w:r>
      <w:r>
        <w:rPr>
          <w:color w:val="1D1D1D"/>
          <w:szCs w:val="24"/>
          <w:shd w:val="clear" w:color="auto" w:fill="FFFFFF"/>
        </w:rPr>
        <w:t xml:space="preserve"> black and of a middle-class neighborhood in Dallas. The protestation by parents, school officials</w:t>
      </w:r>
      <w:r>
        <w:rPr>
          <w:color w:val="1D1D1D"/>
          <w:szCs w:val="24"/>
          <w:shd w:val="clear" w:color="auto" w:fill="FFFFFF"/>
        </w:rPr>
        <w:t>,</w:t>
      </w:r>
      <w:r>
        <w:rPr>
          <w:color w:val="1D1D1D"/>
          <w:szCs w:val="24"/>
          <w:shd w:val="clear" w:color="auto" w:fill="FFFFFF"/>
        </w:rPr>
        <w:t xml:space="preserve"> and teachers</w:t>
      </w:r>
      <w:r>
        <w:rPr>
          <w:color w:val="1D1D1D"/>
          <w:szCs w:val="24"/>
          <w:shd w:val="clear" w:color="auto" w:fill="FFFFFF"/>
        </w:rPr>
        <w:t xml:space="preserve"> for Carter to be allowed to play was, therefore, a means of promoting fairness and accountability in sports. It was </w:t>
      </w:r>
      <w:r>
        <w:rPr>
          <w:color w:val="1D1D1D"/>
          <w:szCs w:val="24"/>
          <w:shd w:val="clear" w:color="auto" w:fill="FFFFFF"/>
        </w:rPr>
        <w:t>also</w:t>
      </w:r>
      <w:r>
        <w:rPr>
          <w:color w:val="1D1D1D"/>
          <w:szCs w:val="24"/>
          <w:shd w:val="clear" w:color="auto" w:fill="FFFFFF"/>
        </w:rPr>
        <w:t xml:space="preserve"> unethical for Carter players to be imprisoned. It was also unethical and unfair for Carter to have been stripped </w:t>
      </w:r>
      <w:r>
        <w:rPr>
          <w:color w:val="1D1D1D"/>
          <w:szCs w:val="24"/>
          <w:shd w:val="clear" w:color="auto" w:fill="FFFFFF"/>
        </w:rPr>
        <w:lastRenderedPageBreak/>
        <w:t>off the state title i</w:t>
      </w:r>
      <w:r>
        <w:rPr>
          <w:color w:val="1D1D1D"/>
          <w:szCs w:val="24"/>
          <w:shd w:val="clear" w:color="auto" w:fill="FFFFFF"/>
        </w:rPr>
        <w:t>n 1988. The imprisonment on the bias of Carter being thugs and cheaters was</w:t>
      </w:r>
      <w:r>
        <w:rPr>
          <w:color w:val="1D1D1D"/>
          <w:szCs w:val="24"/>
          <w:shd w:val="clear" w:color="auto" w:fill="FFFFFF"/>
        </w:rPr>
        <w:t>,</w:t>
      </w:r>
      <w:r>
        <w:rPr>
          <w:color w:val="1D1D1D"/>
          <w:szCs w:val="24"/>
          <w:shd w:val="clear" w:color="auto" w:fill="FFFFFF"/>
        </w:rPr>
        <w:t xml:space="preserve"> therefore</w:t>
      </w:r>
      <w:r>
        <w:rPr>
          <w:color w:val="1D1D1D"/>
          <w:szCs w:val="24"/>
          <w:shd w:val="clear" w:color="auto" w:fill="FFFFFF"/>
        </w:rPr>
        <w:t>,</w:t>
      </w:r>
      <w:r>
        <w:rPr>
          <w:color w:val="1D1D1D"/>
          <w:szCs w:val="24"/>
          <w:shd w:val="clear" w:color="auto" w:fill="FFFFFF"/>
        </w:rPr>
        <w:t xml:space="preserve"> unethical and illegal. </w:t>
      </w:r>
    </w:p>
    <w:p w:rsidR="00B60A65" w:rsidRDefault="00F17DDA" w:rsidP="00177F11">
      <w:pPr>
        <w:rPr>
          <w:color w:val="1D1D1D"/>
          <w:szCs w:val="24"/>
          <w:shd w:val="clear" w:color="auto" w:fill="FFFFFF"/>
        </w:rPr>
      </w:pPr>
      <w:r>
        <w:rPr>
          <w:color w:val="1D1D1D"/>
          <w:szCs w:val="24"/>
          <w:shd w:val="clear" w:color="auto" w:fill="FFFFFF"/>
        </w:rPr>
        <w:t>All competitions should be treated with fairness and accountability despite the racial and social backgrounds of the teams competing in the comp</w:t>
      </w:r>
      <w:r>
        <w:rPr>
          <w:color w:val="1D1D1D"/>
          <w:szCs w:val="24"/>
          <w:shd w:val="clear" w:color="auto" w:fill="FFFFFF"/>
        </w:rPr>
        <w:t>etitions. The coaches were also unfair in pressuring the Texas High School team to beat a team of monsters from Carter high school in Dallas. The branding of the team as a monster team was segregating the team and giving the Texas team a negative perceptio</w:t>
      </w:r>
      <w:r>
        <w:rPr>
          <w:color w:val="1D1D1D"/>
          <w:szCs w:val="24"/>
          <w:shd w:val="clear" w:color="auto" w:fill="FFFFFF"/>
        </w:rPr>
        <w:t>n of the Carter team they were to play against. This perception perhaps contributed to the branding of the Carter team as thugs and cheaters in examinations. It was also unfair to have involved algebra matters in a real competition that did not wholly have</w:t>
      </w:r>
      <w:r>
        <w:rPr>
          <w:color w:val="1D1D1D"/>
          <w:szCs w:val="24"/>
          <w:shd w:val="clear" w:color="auto" w:fill="FFFFFF"/>
        </w:rPr>
        <w:t xml:space="preserve"> anything to do with academic prowess (</w:t>
      </w:r>
      <w:proofErr w:type="spellStart"/>
      <w:r>
        <w:rPr>
          <w:color w:val="1D1D1D"/>
          <w:szCs w:val="24"/>
          <w:shd w:val="clear" w:color="auto" w:fill="FFFFFF"/>
        </w:rPr>
        <w:t>Ehrhardt</w:t>
      </w:r>
      <w:proofErr w:type="spellEnd"/>
      <w:r>
        <w:rPr>
          <w:color w:val="1D1D1D"/>
          <w:szCs w:val="24"/>
          <w:shd w:val="clear" w:color="auto" w:fill="FFFFFF"/>
        </w:rPr>
        <w:t xml:space="preserve"> &amp; Rodgers 1988).</w:t>
      </w:r>
    </w:p>
    <w:p w:rsidR="00B60A65" w:rsidRDefault="00F17DDA">
      <w:pPr>
        <w:ind w:left="284" w:hanging="284"/>
        <w:jc w:val="center"/>
        <w:rPr>
          <w:color w:val="1D1D1D"/>
          <w:szCs w:val="24"/>
          <w:shd w:val="clear" w:color="auto" w:fill="FFFFFF"/>
        </w:rPr>
      </w:pPr>
      <w:r>
        <w:rPr>
          <w:b/>
          <w:color w:val="1D1D1D"/>
          <w:szCs w:val="24"/>
          <w:shd w:val="clear" w:color="auto" w:fill="FFFFFF"/>
        </w:rPr>
        <w:t>Part Two, the Ethical Issues and What Should Have Been Done Differently As Regards the Zinn V. Parrish Case</w:t>
      </w:r>
    </w:p>
    <w:p w:rsidR="00B60A65" w:rsidRDefault="00F17DDA" w:rsidP="00177F11">
      <w:pPr>
        <w:rPr>
          <w:color w:val="1D1D1D"/>
          <w:szCs w:val="24"/>
          <w:shd w:val="clear" w:color="auto" w:fill="FFFFFF"/>
        </w:rPr>
      </w:pPr>
      <w:r>
        <w:rPr>
          <w:color w:val="1D1D1D"/>
          <w:szCs w:val="24"/>
          <w:shd w:val="clear" w:color="auto" w:fill="FFFFFF"/>
        </w:rPr>
        <w:t>According to</w:t>
      </w:r>
      <w:r>
        <w:rPr>
          <w:color w:val="505151"/>
          <w:szCs w:val="24"/>
          <w:shd w:val="clear" w:color="auto" w:fill="FFFFFF"/>
        </w:rPr>
        <w:t xml:space="preserve"> </w:t>
      </w:r>
      <w:hyperlink r:id="rId9" w:history="1">
        <w:r>
          <w:rPr>
            <w:rStyle w:val="Hyperlink"/>
            <w:szCs w:val="24"/>
            <w:shd w:val="clear" w:color="auto" w:fill="FFFFFF"/>
          </w:rPr>
          <w:t>https://law.justia.com/cases/federal/district-courts/FSupp/461/11/2266543/</w:t>
        </w:r>
      </w:hyperlink>
      <w:r>
        <w:rPr>
          <w:color w:val="1D1D1D"/>
          <w:szCs w:val="24"/>
          <w:shd w:val="clear" w:color="auto" w:fill="FFFFFF"/>
        </w:rPr>
        <w:t xml:space="preserve">  plaintiff engages in the act of suing as an agent to recover commissions that were allegedly due from his client</w:t>
      </w:r>
      <w:r>
        <w:rPr>
          <w:color w:val="1D1D1D"/>
          <w:szCs w:val="24"/>
          <w:shd w:val="clear" w:color="auto" w:fill="FFFFFF"/>
        </w:rPr>
        <w:t xml:space="preserve">. This </w:t>
      </w:r>
      <w:r>
        <w:rPr>
          <w:color w:val="1D1D1D"/>
          <w:szCs w:val="24"/>
          <w:shd w:val="clear" w:color="auto" w:fill="FFFFFF"/>
        </w:rPr>
        <w:t>raises a</w:t>
      </w:r>
      <w:r>
        <w:rPr>
          <w:color w:val="1D1D1D"/>
          <w:szCs w:val="24"/>
          <w:shd w:val="clear" w:color="auto" w:fill="FFFFFF"/>
        </w:rPr>
        <w:t xml:space="preserve"> number of </w:t>
      </w:r>
      <w:r>
        <w:rPr>
          <w:color w:val="1D1D1D"/>
          <w:szCs w:val="24"/>
          <w:shd w:val="clear" w:color="auto" w:fill="FFFFFF"/>
        </w:rPr>
        <w:t>ethical question</w:t>
      </w:r>
      <w:r>
        <w:rPr>
          <w:color w:val="1D1D1D"/>
          <w:szCs w:val="24"/>
          <w:shd w:val="clear" w:color="auto" w:fill="FFFFFF"/>
        </w:rPr>
        <w:t>s</w:t>
      </w:r>
      <w:r>
        <w:rPr>
          <w:color w:val="1D1D1D"/>
          <w:szCs w:val="24"/>
          <w:shd w:val="clear" w:color="auto" w:fill="FFFFFF"/>
        </w:rPr>
        <w:t xml:space="preserve">. </w:t>
      </w:r>
      <w:r>
        <w:rPr>
          <w:color w:val="1D1D1D"/>
          <w:szCs w:val="24"/>
          <w:shd w:val="clear" w:color="auto" w:fill="FFFFFF"/>
        </w:rPr>
        <w:t>During the case hearing,</w:t>
      </w:r>
      <w:r>
        <w:rPr>
          <w:color w:val="1D1D1D"/>
          <w:szCs w:val="24"/>
          <w:shd w:val="clear" w:color="auto" w:fill="FFFFFF"/>
        </w:rPr>
        <w:t xml:space="preserve"> the defendant argued that </w:t>
      </w:r>
      <w:r>
        <w:rPr>
          <w:color w:val="1D1D1D"/>
          <w:szCs w:val="24"/>
          <w:shd w:val="clear" w:color="auto" w:fill="FFFFFF"/>
        </w:rPr>
        <w:t xml:space="preserve">the </w:t>
      </w:r>
      <w:r>
        <w:rPr>
          <w:color w:val="1D1D1D"/>
          <w:szCs w:val="24"/>
          <w:shd w:val="clear" w:color="auto" w:fill="FFFFFF"/>
        </w:rPr>
        <w:t>plaintiff was not a licensed private employment agency according to the provisions in Chapter 48</w:t>
      </w:r>
      <w:r>
        <w:rPr>
          <w:color w:val="1D1D1D"/>
          <w:szCs w:val="24"/>
          <w:shd w:val="clear" w:color="auto" w:fill="FFFFFF"/>
        </w:rPr>
        <w:t>,</w:t>
      </w:r>
      <w:r>
        <w:rPr>
          <w:color w:val="1D1D1D"/>
          <w:szCs w:val="24"/>
          <w:shd w:val="clear" w:color="auto" w:fill="FFFFFF"/>
        </w:rPr>
        <w:t xml:space="preserve"> section 197a of the III. </w:t>
      </w:r>
      <w:proofErr w:type="gramStart"/>
      <w:r>
        <w:rPr>
          <w:color w:val="1D1D1D"/>
          <w:szCs w:val="24"/>
          <w:shd w:val="clear" w:color="auto" w:fill="FFFFFF"/>
        </w:rPr>
        <w:t>Rev. Statute of 1975.</w:t>
      </w:r>
      <w:proofErr w:type="gramEnd"/>
      <w:r>
        <w:rPr>
          <w:color w:val="1D1D1D"/>
          <w:szCs w:val="24"/>
          <w:shd w:val="clear" w:color="auto" w:fill="FFFFFF"/>
        </w:rPr>
        <w:t xml:space="preserve"> The defendant used this section to claim that the contra</w:t>
      </w:r>
      <w:r>
        <w:rPr>
          <w:color w:val="1D1D1D"/>
          <w:szCs w:val="24"/>
          <w:shd w:val="clear" w:color="auto" w:fill="FFFFFF"/>
        </w:rPr>
        <w:t>ct between him and the plaintiff was not legal and</w:t>
      </w:r>
      <w:r>
        <w:rPr>
          <w:color w:val="1D1D1D"/>
          <w:szCs w:val="24"/>
          <w:shd w:val="clear" w:color="auto" w:fill="FFFFFF"/>
        </w:rPr>
        <w:t>,</w:t>
      </w:r>
      <w:r>
        <w:rPr>
          <w:color w:val="1D1D1D"/>
          <w:szCs w:val="24"/>
          <w:shd w:val="clear" w:color="auto" w:fill="FFFFFF"/>
        </w:rPr>
        <w:t xml:space="preserve"> therefore</w:t>
      </w:r>
      <w:r>
        <w:rPr>
          <w:color w:val="1D1D1D"/>
          <w:szCs w:val="24"/>
          <w:shd w:val="clear" w:color="auto" w:fill="FFFFFF"/>
        </w:rPr>
        <w:t>,</w:t>
      </w:r>
      <w:r>
        <w:rPr>
          <w:color w:val="1D1D1D"/>
          <w:szCs w:val="24"/>
          <w:shd w:val="clear" w:color="auto" w:fill="FFFFFF"/>
        </w:rPr>
        <w:t xml:space="preserve"> not enforceable. The defendant was</w:t>
      </w:r>
      <w:r>
        <w:rPr>
          <w:color w:val="1D1D1D"/>
          <w:szCs w:val="24"/>
          <w:shd w:val="clear" w:color="auto" w:fill="FFFFFF"/>
        </w:rPr>
        <w:t>,</w:t>
      </w:r>
      <w:r>
        <w:rPr>
          <w:color w:val="1D1D1D"/>
          <w:szCs w:val="24"/>
          <w:shd w:val="clear" w:color="auto" w:fill="FFFFFF"/>
        </w:rPr>
        <w:t xml:space="preserve"> therefore</w:t>
      </w:r>
      <w:r>
        <w:rPr>
          <w:color w:val="1D1D1D"/>
          <w:szCs w:val="24"/>
          <w:shd w:val="clear" w:color="auto" w:fill="FFFFFF"/>
        </w:rPr>
        <w:t>,</w:t>
      </w:r>
      <w:r>
        <w:rPr>
          <w:color w:val="1D1D1D"/>
          <w:szCs w:val="24"/>
          <w:shd w:val="clear" w:color="auto" w:fill="FFFFFF"/>
        </w:rPr>
        <w:t xml:space="preserve"> right in his contention based on this section as much as the argument lack</w:t>
      </w:r>
      <w:r>
        <w:rPr>
          <w:color w:val="1D1D1D"/>
          <w:szCs w:val="24"/>
          <w:shd w:val="clear" w:color="auto" w:fill="FFFFFF"/>
        </w:rPr>
        <w:t>ed moral</w:t>
      </w:r>
      <w:r>
        <w:rPr>
          <w:color w:val="1D1D1D"/>
          <w:szCs w:val="24"/>
          <w:shd w:val="clear" w:color="auto" w:fill="FFFFFF"/>
        </w:rPr>
        <w:t xml:space="preserve"> suppor</w:t>
      </w:r>
      <w:r>
        <w:rPr>
          <w:color w:val="1D1D1D"/>
          <w:szCs w:val="24"/>
          <w:shd w:val="clear" w:color="auto" w:fill="FFFFFF"/>
        </w:rPr>
        <w:t>t.</w:t>
      </w:r>
      <w:r>
        <w:rPr>
          <w:color w:val="1D1D1D"/>
          <w:szCs w:val="24"/>
          <w:shd w:val="clear" w:color="auto" w:fill="FFFFFF"/>
        </w:rPr>
        <w:t xml:space="preserve"> </w:t>
      </w:r>
    </w:p>
    <w:p w:rsidR="00B60A65" w:rsidRDefault="00F17DDA" w:rsidP="00177F11">
      <w:pPr>
        <w:rPr>
          <w:color w:val="1D1D1D"/>
          <w:szCs w:val="24"/>
          <w:shd w:val="clear" w:color="auto" w:fill="FFFFFF"/>
        </w:rPr>
      </w:pPr>
      <w:r>
        <w:rPr>
          <w:color w:val="1D1D1D"/>
          <w:szCs w:val="24"/>
          <w:shd w:val="clear" w:color="auto" w:fill="FFFFFF"/>
        </w:rPr>
        <w:t>According to the Illinois statute, an employment agen</w:t>
      </w:r>
      <w:r>
        <w:rPr>
          <w:color w:val="1D1D1D"/>
          <w:szCs w:val="24"/>
          <w:shd w:val="clear" w:color="auto" w:fill="FFFFFF"/>
        </w:rPr>
        <w:t xml:space="preserve">cy involves any person participating for gain and profit in any business of attempting or securing employment for people seeking employees or employment. This provision therefore justifies and legalizes </w:t>
      </w:r>
      <w:r>
        <w:rPr>
          <w:color w:val="1D1D1D"/>
          <w:szCs w:val="24"/>
          <w:shd w:val="clear" w:color="auto" w:fill="FFFFFF"/>
        </w:rPr>
        <w:t xml:space="preserve">the </w:t>
      </w:r>
      <w:r>
        <w:rPr>
          <w:color w:val="1D1D1D"/>
          <w:szCs w:val="24"/>
          <w:shd w:val="clear" w:color="auto" w:fill="FFFFFF"/>
        </w:rPr>
        <w:t xml:space="preserve">Plaintiff’s action </w:t>
      </w:r>
      <w:r>
        <w:rPr>
          <w:color w:val="1D1D1D"/>
          <w:szCs w:val="24"/>
          <w:shd w:val="clear" w:color="auto" w:fill="FFFFFF"/>
        </w:rPr>
        <w:lastRenderedPageBreak/>
        <w:t>to recover commissions from hi</w:t>
      </w:r>
      <w:r>
        <w:rPr>
          <w:color w:val="1D1D1D"/>
          <w:szCs w:val="24"/>
          <w:shd w:val="clear" w:color="auto" w:fill="FFFFFF"/>
        </w:rPr>
        <w:t>s client. Plaintiff</w:t>
      </w:r>
      <w:r>
        <w:rPr>
          <w:color w:val="1D1D1D"/>
          <w:szCs w:val="24"/>
          <w:shd w:val="clear" w:color="auto" w:fill="FFFFFF"/>
        </w:rPr>
        <w:t>,</w:t>
      </w:r>
      <w:r>
        <w:rPr>
          <w:color w:val="1D1D1D"/>
          <w:szCs w:val="24"/>
          <w:shd w:val="clear" w:color="auto" w:fill="FFFFFF"/>
        </w:rPr>
        <w:t xml:space="preserve"> in line with this, engaged in the contract to make </w:t>
      </w:r>
      <w:r>
        <w:rPr>
          <w:color w:val="1D1D1D"/>
          <w:szCs w:val="24"/>
          <w:shd w:val="clear" w:color="auto" w:fill="FFFFFF"/>
        </w:rPr>
        <w:t xml:space="preserve">a </w:t>
      </w:r>
      <w:r>
        <w:rPr>
          <w:color w:val="1D1D1D"/>
          <w:szCs w:val="24"/>
          <w:shd w:val="clear" w:color="auto" w:fill="FFFFFF"/>
        </w:rPr>
        <w:t xml:space="preserve">profit out of it. It was also a way of securing employment for its people. The accused should thus have paid the commissions to the plaintiff since the accused had benefitted from </w:t>
      </w:r>
      <w:r>
        <w:rPr>
          <w:color w:val="1D1D1D"/>
          <w:szCs w:val="24"/>
          <w:shd w:val="clear" w:color="auto" w:fill="FFFFFF"/>
        </w:rPr>
        <w:t>th</w:t>
      </w:r>
      <w:r>
        <w:rPr>
          <w:color w:val="1D1D1D"/>
          <w:szCs w:val="24"/>
          <w:shd w:val="clear" w:color="auto" w:fill="FFFFFF"/>
        </w:rPr>
        <w:t xml:space="preserve">e </w:t>
      </w:r>
      <w:r>
        <w:rPr>
          <w:color w:val="1D1D1D"/>
          <w:szCs w:val="24"/>
          <w:shd w:val="clear" w:color="auto" w:fill="FFFFFF"/>
        </w:rPr>
        <w:t>plaintiff’s services.</w:t>
      </w:r>
    </w:p>
    <w:p w:rsidR="00B60A65" w:rsidRDefault="00F17DDA" w:rsidP="00177F11">
      <w:pPr>
        <w:rPr>
          <w:color w:val="1D1D1D"/>
          <w:szCs w:val="24"/>
          <w:shd w:val="clear" w:color="auto" w:fill="FFFFFF"/>
        </w:rPr>
      </w:pPr>
      <w:r>
        <w:rPr>
          <w:color w:val="1D1D1D"/>
          <w:szCs w:val="24"/>
          <w:shd w:val="clear" w:color="auto" w:fill="FFFFFF"/>
        </w:rPr>
        <w:t>The failure of the case to be resolved based on the unclear understanding of whether the plaintiff was an employment agency was</w:t>
      </w:r>
      <w:r>
        <w:rPr>
          <w:color w:val="1D1D1D"/>
          <w:szCs w:val="24"/>
          <w:shd w:val="clear" w:color="auto" w:fill="FFFFFF"/>
        </w:rPr>
        <w:t>,</w:t>
      </w:r>
      <w:r>
        <w:rPr>
          <w:color w:val="1D1D1D"/>
          <w:szCs w:val="24"/>
          <w:shd w:val="clear" w:color="auto" w:fill="FFFFFF"/>
        </w:rPr>
        <w:t xml:space="preserve"> therefore</w:t>
      </w:r>
      <w:r>
        <w:rPr>
          <w:color w:val="1D1D1D"/>
          <w:szCs w:val="24"/>
          <w:shd w:val="clear" w:color="auto" w:fill="FFFFFF"/>
        </w:rPr>
        <w:t>,</w:t>
      </w:r>
      <w:r>
        <w:rPr>
          <w:color w:val="1D1D1D"/>
          <w:szCs w:val="24"/>
          <w:shd w:val="clear" w:color="auto" w:fill="FFFFFF"/>
        </w:rPr>
        <w:t xml:space="preserve"> unethical. The Illinois statute clearly outlines the situation when an agency is not treated</w:t>
      </w:r>
      <w:r>
        <w:rPr>
          <w:color w:val="1D1D1D"/>
          <w:szCs w:val="24"/>
          <w:shd w:val="clear" w:color="auto" w:fill="FFFFFF"/>
        </w:rPr>
        <w:t xml:space="preserve"> as an employment agency. As such</w:t>
      </w:r>
      <w:r>
        <w:rPr>
          <w:color w:val="1D1D1D"/>
          <w:szCs w:val="24"/>
          <w:shd w:val="clear" w:color="auto" w:fill="FFFFFF"/>
        </w:rPr>
        <w:t>,</w:t>
      </w:r>
      <w:r>
        <w:rPr>
          <w:color w:val="1D1D1D"/>
          <w:szCs w:val="24"/>
          <w:shd w:val="clear" w:color="auto" w:fill="FFFFFF"/>
        </w:rPr>
        <w:t xml:space="preserve"> the plaintiff would have been considered as an employment agency if he engaged in the activities of business management and consulting and also in management executive training. This was</w:t>
      </w:r>
      <w:r>
        <w:rPr>
          <w:color w:val="1D1D1D"/>
          <w:szCs w:val="24"/>
          <w:shd w:val="clear" w:color="auto" w:fill="FFFFFF"/>
        </w:rPr>
        <w:t>,</w:t>
      </w:r>
      <w:r>
        <w:rPr>
          <w:color w:val="1D1D1D"/>
          <w:szCs w:val="24"/>
          <w:shd w:val="clear" w:color="auto" w:fill="FFFFFF"/>
        </w:rPr>
        <w:t xml:space="preserve"> however</w:t>
      </w:r>
      <w:r>
        <w:rPr>
          <w:color w:val="1D1D1D"/>
          <w:szCs w:val="24"/>
          <w:shd w:val="clear" w:color="auto" w:fill="FFFFFF"/>
        </w:rPr>
        <w:t>,</w:t>
      </w:r>
      <w:r>
        <w:rPr>
          <w:color w:val="1D1D1D"/>
          <w:szCs w:val="24"/>
          <w:shd w:val="clear" w:color="auto" w:fill="FFFFFF"/>
        </w:rPr>
        <w:t xml:space="preserve"> not the case for </w:t>
      </w:r>
      <w:r>
        <w:rPr>
          <w:color w:val="1D1D1D"/>
          <w:szCs w:val="24"/>
          <w:shd w:val="clear" w:color="auto" w:fill="FFFFFF"/>
        </w:rPr>
        <w:t xml:space="preserve">the </w:t>
      </w:r>
      <w:r>
        <w:rPr>
          <w:color w:val="1D1D1D"/>
          <w:szCs w:val="24"/>
          <w:shd w:val="clear" w:color="auto" w:fill="FFFFFF"/>
        </w:rPr>
        <w:t>pla</w:t>
      </w:r>
      <w:r>
        <w:rPr>
          <w:color w:val="1D1D1D"/>
          <w:szCs w:val="24"/>
          <w:shd w:val="clear" w:color="auto" w:fill="FFFFFF"/>
        </w:rPr>
        <w:t>intiff</w:t>
      </w:r>
      <w:r>
        <w:rPr>
          <w:color w:val="1D1D1D"/>
          <w:szCs w:val="24"/>
          <w:shd w:val="clear" w:color="auto" w:fill="FFFFFF"/>
        </w:rPr>
        <w:t>,</w:t>
      </w:r>
      <w:r>
        <w:rPr>
          <w:color w:val="1D1D1D"/>
          <w:szCs w:val="24"/>
          <w:shd w:val="clear" w:color="auto" w:fill="FFFFFF"/>
        </w:rPr>
        <w:t xml:space="preserve"> and </w:t>
      </w:r>
      <w:r>
        <w:rPr>
          <w:color w:val="1D1D1D"/>
          <w:szCs w:val="24"/>
          <w:shd w:val="clear" w:color="auto" w:fill="FFFFFF"/>
        </w:rPr>
        <w:t xml:space="preserve">it's the </w:t>
      </w:r>
      <w:r>
        <w:rPr>
          <w:color w:val="1D1D1D"/>
          <w:szCs w:val="24"/>
          <w:shd w:val="clear" w:color="auto" w:fill="FFFFFF"/>
        </w:rPr>
        <w:t xml:space="preserve">client. The plaintiff also qualifies as an employment agency </w:t>
      </w:r>
      <w:proofErr w:type="gramStart"/>
      <w:r>
        <w:rPr>
          <w:color w:val="1D1D1D"/>
          <w:szCs w:val="24"/>
          <w:shd w:val="clear" w:color="auto" w:fill="FFFFFF"/>
        </w:rPr>
        <w:t>because</w:t>
      </w:r>
      <w:r>
        <w:rPr>
          <w:color w:val="1D1D1D"/>
          <w:szCs w:val="24"/>
          <w:shd w:val="clear" w:color="auto" w:fill="FFFFFF"/>
        </w:rPr>
        <w:t>,</w:t>
      </w:r>
      <w:r>
        <w:rPr>
          <w:color w:val="1D1D1D"/>
          <w:szCs w:val="24"/>
          <w:shd w:val="clear" w:color="auto" w:fill="FFFFFF"/>
        </w:rPr>
        <w:t xml:space="preserve"> in the course of conducting business with his client, </w:t>
      </w:r>
      <w:r>
        <w:rPr>
          <w:color w:val="1D1D1D"/>
          <w:szCs w:val="24"/>
          <w:shd w:val="clear" w:color="auto" w:fill="FFFFFF"/>
        </w:rPr>
        <w:t>it</w:t>
      </w:r>
      <w:r>
        <w:rPr>
          <w:color w:val="1D1D1D"/>
          <w:szCs w:val="24"/>
          <w:shd w:val="clear" w:color="auto" w:fill="FFFFFF"/>
        </w:rPr>
        <w:t xml:space="preserve"> was not retained by neither</w:t>
      </w:r>
      <w:proofErr w:type="gramEnd"/>
      <w:r>
        <w:rPr>
          <w:color w:val="1D1D1D"/>
          <w:szCs w:val="24"/>
          <w:shd w:val="clear" w:color="auto" w:fill="FFFFFF"/>
        </w:rPr>
        <w:t xml:space="preserve"> did not act solely on behalf of or exclusively compensated by an employer to rec</w:t>
      </w:r>
      <w:r>
        <w:rPr>
          <w:color w:val="1D1D1D"/>
          <w:szCs w:val="24"/>
          <w:shd w:val="clear" w:color="auto" w:fill="FFFFFF"/>
        </w:rPr>
        <w:t xml:space="preserve">ommend an individual for any professional position. This scenario is not applicable in this case and therefore disqualifies and makes the claims of failing to resolve </w:t>
      </w:r>
      <w:r>
        <w:rPr>
          <w:color w:val="1D1D1D"/>
          <w:szCs w:val="24"/>
          <w:shd w:val="clear" w:color="auto" w:fill="FFFFFF"/>
        </w:rPr>
        <w:t xml:space="preserve">the </w:t>
      </w:r>
      <w:r>
        <w:rPr>
          <w:color w:val="1D1D1D"/>
          <w:szCs w:val="24"/>
          <w:shd w:val="clear" w:color="auto" w:fill="FFFFFF"/>
        </w:rPr>
        <w:t>plaintiff’s case because of the employment agency dilemma unethical. The court should</w:t>
      </w:r>
      <w:r>
        <w:rPr>
          <w:color w:val="1D1D1D"/>
          <w:szCs w:val="24"/>
          <w:shd w:val="clear" w:color="auto" w:fill="FFFFFF"/>
        </w:rPr>
        <w:t>, therefore, have looked at the Illinois statute</w:t>
      </w:r>
      <w:r>
        <w:rPr>
          <w:color w:val="1D1D1D"/>
          <w:szCs w:val="24"/>
          <w:shd w:val="clear" w:color="auto" w:fill="FFFFFF"/>
        </w:rPr>
        <w:t>,</w:t>
      </w:r>
      <w:r>
        <w:rPr>
          <w:color w:val="1D1D1D"/>
          <w:szCs w:val="24"/>
          <w:shd w:val="clear" w:color="auto" w:fill="FFFFFF"/>
        </w:rPr>
        <w:t xml:space="preserve"> which</w:t>
      </w:r>
      <w:r>
        <w:rPr>
          <w:color w:val="1D1D1D"/>
          <w:szCs w:val="24"/>
          <w:shd w:val="clear" w:color="auto" w:fill="FFFFFF"/>
        </w:rPr>
        <w:t>,</w:t>
      </w:r>
      <w:r>
        <w:rPr>
          <w:color w:val="1D1D1D"/>
          <w:szCs w:val="24"/>
          <w:shd w:val="clear" w:color="auto" w:fill="FFFFFF"/>
        </w:rPr>
        <w:t xml:space="preserve"> in my view</w:t>
      </w:r>
      <w:r>
        <w:rPr>
          <w:color w:val="1D1D1D"/>
          <w:szCs w:val="24"/>
          <w:shd w:val="clear" w:color="auto" w:fill="FFFFFF"/>
        </w:rPr>
        <w:t>,</w:t>
      </w:r>
      <w:r>
        <w:rPr>
          <w:color w:val="1D1D1D"/>
          <w:szCs w:val="24"/>
          <w:shd w:val="clear" w:color="auto" w:fill="FFFFFF"/>
        </w:rPr>
        <w:t xml:space="preserve"> qualifies </w:t>
      </w:r>
      <w:r>
        <w:rPr>
          <w:color w:val="1D1D1D"/>
          <w:szCs w:val="24"/>
          <w:shd w:val="clear" w:color="auto" w:fill="FFFFFF"/>
        </w:rPr>
        <w:t xml:space="preserve">the </w:t>
      </w:r>
      <w:r>
        <w:rPr>
          <w:color w:val="1D1D1D"/>
          <w:szCs w:val="24"/>
          <w:shd w:val="clear" w:color="auto" w:fill="FFFFFF"/>
        </w:rPr>
        <w:t xml:space="preserve">plaintiff as an employment agency. </w:t>
      </w:r>
    </w:p>
    <w:p w:rsidR="00B60A65" w:rsidRDefault="00F17DDA" w:rsidP="00177F11">
      <w:pPr>
        <w:rPr>
          <w:color w:val="1D1D1D"/>
          <w:szCs w:val="24"/>
          <w:shd w:val="clear" w:color="auto" w:fill="FFFFFF"/>
        </w:rPr>
      </w:pPr>
      <w:r>
        <w:rPr>
          <w:color w:val="1D1D1D"/>
          <w:szCs w:val="24"/>
          <w:shd w:val="clear" w:color="auto" w:fill="FFFFFF"/>
        </w:rPr>
        <w:t>Based on the plaintiff being an employment agency and having offered services to the accused, the court should have ruled that the commis</w:t>
      </w:r>
      <w:r>
        <w:rPr>
          <w:color w:val="1D1D1D"/>
          <w:szCs w:val="24"/>
          <w:shd w:val="clear" w:color="auto" w:fill="FFFFFF"/>
        </w:rPr>
        <w:t>sions due the plaintiff be paid by the defendant. Since the plaintiff had also entered into a contract with the defendant, the contract as a legal and binding document should have been used to order the defendant to pay the plaintiff the commissions that a</w:t>
      </w:r>
      <w:r>
        <w:rPr>
          <w:color w:val="1D1D1D"/>
          <w:szCs w:val="24"/>
          <w:shd w:val="clear" w:color="auto" w:fill="FFFFFF"/>
        </w:rPr>
        <w:t>re due him according to their terms in the contract agreement. According to Steele (2018), contracts are useful in such scenarios as they can help clear uncertainties. It was therefore unethical for the court to have invoked other clauses like the Illinois</w:t>
      </w:r>
      <w:r>
        <w:rPr>
          <w:color w:val="1D1D1D"/>
          <w:szCs w:val="24"/>
          <w:shd w:val="clear" w:color="auto" w:fill="FFFFFF"/>
        </w:rPr>
        <w:t xml:space="preserve"> statute in the </w:t>
      </w:r>
      <w:r>
        <w:rPr>
          <w:color w:val="1D1D1D"/>
          <w:szCs w:val="24"/>
          <w:shd w:val="clear" w:color="auto" w:fill="FFFFFF"/>
        </w:rPr>
        <w:lastRenderedPageBreak/>
        <w:t>handling of the case. The agreement between the two parties in court should have been used to resolve their conflict by giving each party what is due it.</w:t>
      </w:r>
    </w:p>
    <w:p w:rsidR="00B60A65" w:rsidRDefault="00B60A65">
      <w:pPr>
        <w:ind w:firstLine="284"/>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Default="00B60A65">
      <w:pPr>
        <w:ind w:firstLine="0"/>
        <w:jc w:val="center"/>
        <w:rPr>
          <w:color w:val="1D1D1D"/>
          <w:szCs w:val="24"/>
          <w:shd w:val="clear" w:color="auto" w:fill="FFFFFF"/>
        </w:rPr>
      </w:pPr>
    </w:p>
    <w:p w:rsidR="00B60A65" w:rsidRPr="00177F11" w:rsidRDefault="00F17DDA">
      <w:pPr>
        <w:ind w:firstLine="0"/>
        <w:jc w:val="center"/>
        <w:rPr>
          <w:b/>
          <w:color w:val="1D1D1D"/>
          <w:szCs w:val="24"/>
          <w:shd w:val="clear" w:color="auto" w:fill="FFFFFF"/>
        </w:rPr>
      </w:pPr>
      <w:r w:rsidRPr="00177F11">
        <w:rPr>
          <w:b/>
          <w:color w:val="1D1D1D"/>
          <w:szCs w:val="24"/>
          <w:shd w:val="clear" w:color="auto" w:fill="FFFFFF"/>
        </w:rPr>
        <w:lastRenderedPageBreak/>
        <w:t>References</w:t>
      </w:r>
    </w:p>
    <w:p w:rsidR="00831465" w:rsidRDefault="00831465" w:rsidP="00831465">
      <w:pPr>
        <w:ind w:left="720" w:hanging="720"/>
        <w:rPr>
          <w:color w:val="1D1D1D"/>
          <w:szCs w:val="24"/>
          <w:shd w:val="clear" w:color="auto" w:fill="FFFFFF"/>
        </w:rPr>
      </w:pPr>
      <w:proofErr w:type="spellStart"/>
      <w:r>
        <w:rPr>
          <w:color w:val="1D1D1D"/>
          <w:szCs w:val="24"/>
          <w:shd w:val="clear" w:color="auto" w:fill="FFFFFF"/>
        </w:rPr>
        <w:t>Ehrhardt</w:t>
      </w:r>
      <w:proofErr w:type="spellEnd"/>
      <w:r>
        <w:rPr>
          <w:color w:val="1D1D1D"/>
          <w:szCs w:val="24"/>
          <w:shd w:val="clear" w:color="auto" w:fill="FFFFFF"/>
        </w:rPr>
        <w:t xml:space="preserve">, C.W., Rodgers, J.M. (1988). </w:t>
      </w:r>
      <w:proofErr w:type="gramStart"/>
      <w:r>
        <w:rPr>
          <w:color w:val="1D1D1D"/>
          <w:szCs w:val="24"/>
          <w:shd w:val="clear" w:color="auto" w:fill="FFFFFF"/>
        </w:rPr>
        <w:t>Tightening the defense against offensive sports agents.</w:t>
      </w:r>
      <w:proofErr w:type="gramEnd"/>
      <w:r>
        <w:rPr>
          <w:color w:val="1D1D1D"/>
          <w:szCs w:val="24"/>
          <w:shd w:val="clear" w:color="auto" w:fill="FFFFFF"/>
        </w:rPr>
        <w:t xml:space="preserve"> Fla. St. </w:t>
      </w:r>
      <w:proofErr w:type="spellStart"/>
      <w:r>
        <w:rPr>
          <w:color w:val="1D1D1D"/>
          <w:szCs w:val="24"/>
          <w:shd w:val="clear" w:color="auto" w:fill="FFFFFF"/>
        </w:rPr>
        <w:t>UL.Rev</w:t>
      </w:r>
      <w:proofErr w:type="spellEnd"/>
      <w:r>
        <w:rPr>
          <w:color w:val="1D1D1D"/>
          <w:szCs w:val="24"/>
          <w:shd w:val="clear" w:color="auto" w:fill="FFFFFF"/>
        </w:rPr>
        <w:t>., 16,633</w:t>
      </w:r>
    </w:p>
    <w:p w:rsidR="00831465" w:rsidRDefault="00831465" w:rsidP="00831465">
      <w:pPr>
        <w:ind w:left="720" w:hanging="720"/>
        <w:rPr>
          <w:rStyle w:val="Hyperlink"/>
          <w:color w:val="auto"/>
          <w:szCs w:val="24"/>
          <w:u w:val="none"/>
          <w:shd w:val="clear" w:color="auto" w:fill="FFFFFF"/>
        </w:rPr>
      </w:pPr>
      <w:r>
        <w:rPr>
          <w:rStyle w:val="Hyperlink"/>
          <w:color w:val="auto"/>
          <w:szCs w:val="24"/>
          <w:u w:val="none"/>
          <w:shd w:val="clear" w:color="auto" w:fill="FFFFFF"/>
        </w:rPr>
        <w:t xml:space="preserve">Newman, J.S. (1981). </w:t>
      </w:r>
      <w:proofErr w:type="gramStart"/>
      <w:r>
        <w:rPr>
          <w:rStyle w:val="Hyperlink"/>
          <w:color w:val="auto"/>
          <w:szCs w:val="24"/>
          <w:u w:val="none"/>
          <w:shd w:val="clear" w:color="auto" w:fill="FFFFFF"/>
        </w:rPr>
        <w:t>Transferability, Utility, and Taxation.</w:t>
      </w:r>
      <w:proofErr w:type="gramEnd"/>
      <w:r>
        <w:rPr>
          <w:rStyle w:val="Hyperlink"/>
          <w:color w:val="auto"/>
          <w:szCs w:val="24"/>
          <w:u w:val="none"/>
          <w:shd w:val="clear" w:color="auto" w:fill="FFFFFF"/>
        </w:rPr>
        <w:t xml:space="preserve"> </w:t>
      </w:r>
      <w:proofErr w:type="spellStart"/>
      <w:r>
        <w:rPr>
          <w:rStyle w:val="Hyperlink"/>
          <w:i/>
          <w:color w:val="auto"/>
          <w:szCs w:val="24"/>
          <w:u w:val="none"/>
          <w:shd w:val="clear" w:color="auto" w:fill="FFFFFF"/>
        </w:rPr>
        <w:t>U.Kan</w:t>
      </w:r>
      <w:proofErr w:type="spellEnd"/>
      <w:r>
        <w:rPr>
          <w:rStyle w:val="Hyperlink"/>
          <w:i/>
          <w:color w:val="auto"/>
          <w:szCs w:val="24"/>
          <w:u w:val="none"/>
          <w:shd w:val="clear" w:color="auto" w:fill="FFFFFF"/>
        </w:rPr>
        <w:t>. L. Rev., 30</w:t>
      </w:r>
      <w:r>
        <w:rPr>
          <w:rStyle w:val="Hyperlink"/>
          <w:color w:val="auto"/>
          <w:szCs w:val="24"/>
          <w:u w:val="none"/>
          <w:shd w:val="clear" w:color="auto" w:fill="FFFFFF"/>
        </w:rPr>
        <w:t>, 27</w:t>
      </w:r>
    </w:p>
    <w:p w:rsidR="00831465" w:rsidRDefault="00831465" w:rsidP="00831465">
      <w:pPr>
        <w:ind w:left="720" w:hanging="720"/>
        <w:rPr>
          <w:rStyle w:val="Hyperlink"/>
          <w:color w:val="auto"/>
          <w:szCs w:val="24"/>
          <w:u w:val="none"/>
          <w:shd w:val="clear" w:color="auto" w:fill="FFFFFF"/>
        </w:rPr>
      </w:pPr>
      <w:r>
        <w:rPr>
          <w:rStyle w:val="Hyperlink"/>
          <w:color w:val="auto"/>
          <w:szCs w:val="24"/>
          <w:u w:val="none"/>
          <w:shd w:val="clear" w:color="auto" w:fill="FFFFFF"/>
        </w:rPr>
        <w:t xml:space="preserve">Steele, J. (2018). Offshore Drilling: Combating Regulatory Uncertainty with Contract Law Protection. </w:t>
      </w:r>
      <w:r>
        <w:rPr>
          <w:rStyle w:val="Hyperlink"/>
          <w:i/>
          <w:color w:val="auto"/>
          <w:szCs w:val="24"/>
          <w:u w:val="none"/>
          <w:shd w:val="clear" w:color="auto" w:fill="FFFFFF"/>
        </w:rPr>
        <w:t>Brook. J. Corp. Fin. &amp; Com. L., 13</w:t>
      </w:r>
      <w:r>
        <w:rPr>
          <w:rStyle w:val="Hyperlink"/>
          <w:color w:val="auto"/>
          <w:szCs w:val="24"/>
          <w:u w:val="none"/>
          <w:shd w:val="clear" w:color="auto" w:fill="FFFFFF"/>
        </w:rPr>
        <w:t>,515</w:t>
      </w:r>
    </w:p>
    <w:p w:rsidR="00831465" w:rsidRDefault="00831465" w:rsidP="00831465">
      <w:pPr>
        <w:ind w:left="720" w:hanging="720"/>
        <w:rPr>
          <w:szCs w:val="24"/>
          <w:shd w:val="clear" w:color="auto" w:fill="FFFFFF"/>
        </w:rPr>
      </w:pPr>
      <w:proofErr w:type="spellStart"/>
      <w:proofErr w:type="gramStart"/>
      <w:r>
        <w:rPr>
          <w:rStyle w:val="Hyperlink"/>
          <w:color w:val="auto"/>
          <w:szCs w:val="24"/>
          <w:u w:val="none"/>
          <w:shd w:val="clear" w:color="auto" w:fill="FFFFFF"/>
        </w:rPr>
        <w:t>Steinkamp</w:t>
      </w:r>
      <w:proofErr w:type="spellEnd"/>
      <w:r>
        <w:rPr>
          <w:rStyle w:val="Hyperlink"/>
          <w:color w:val="auto"/>
          <w:szCs w:val="24"/>
          <w:u w:val="none"/>
          <w:shd w:val="clear" w:color="auto" w:fill="FFFFFF"/>
        </w:rPr>
        <w:t>, J. G. /91993).</w:t>
      </w:r>
      <w:proofErr w:type="gramEnd"/>
      <w:r>
        <w:rPr>
          <w:rStyle w:val="Hyperlink"/>
          <w:color w:val="auto"/>
          <w:szCs w:val="24"/>
          <w:u w:val="none"/>
          <w:shd w:val="clear" w:color="auto" w:fill="FFFFFF"/>
        </w:rPr>
        <w:t xml:space="preserve"> </w:t>
      </w:r>
      <w:proofErr w:type="gramStart"/>
      <w:r>
        <w:rPr>
          <w:rStyle w:val="Hyperlink"/>
          <w:color w:val="auto"/>
          <w:szCs w:val="24"/>
          <w:u w:val="none"/>
          <w:shd w:val="clear" w:color="auto" w:fill="FFFFFF"/>
        </w:rPr>
        <w:t>Common Sense and the Gift Tax Annual Exclusion.</w:t>
      </w:r>
      <w:proofErr w:type="gramEnd"/>
      <w:r>
        <w:rPr>
          <w:rStyle w:val="Hyperlink"/>
          <w:color w:val="auto"/>
          <w:szCs w:val="24"/>
          <w:u w:val="none"/>
          <w:shd w:val="clear" w:color="auto" w:fill="FFFFFF"/>
        </w:rPr>
        <w:t xml:space="preserve"> </w:t>
      </w:r>
      <w:r>
        <w:rPr>
          <w:rStyle w:val="Hyperlink"/>
          <w:i/>
          <w:color w:val="auto"/>
          <w:szCs w:val="24"/>
          <w:u w:val="none"/>
          <w:shd w:val="clear" w:color="auto" w:fill="FFFFFF"/>
        </w:rPr>
        <w:t>Neb. L. Rev., 72</w:t>
      </w:r>
      <w:r>
        <w:rPr>
          <w:rStyle w:val="Hyperlink"/>
          <w:color w:val="auto"/>
          <w:szCs w:val="24"/>
          <w:u w:val="none"/>
          <w:shd w:val="clear" w:color="auto" w:fill="FFFFFF"/>
        </w:rPr>
        <w:t>, 106</w:t>
      </w:r>
    </w:p>
    <w:p w:rsidR="00831465" w:rsidRDefault="00831465" w:rsidP="00831465">
      <w:pPr>
        <w:ind w:left="720" w:hanging="720"/>
        <w:rPr>
          <w:rStyle w:val="Hyperlink"/>
          <w:szCs w:val="24"/>
          <w:u w:val="none"/>
          <w:shd w:val="clear" w:color="auto" w:fill="FFFFFF"/>
        </w:rPr>
      </w:pPr>
      <w:hyperlink r:id="rId10" w:history="1">
        <w:r>
          <w:rPr>
            <w:rStyle w:val="Hyperlink"/>
            <w:szCs w:val="24"/>
            <w:u w:val="none"/>
            <w:shd w:val="clear" w:color="auto" w:fill="FFFFFF"/>
          </w:rPr>
          <w:t>https://law.justia.com/cases/federal/district-courts/FSupp/461/11/2266543/</w:t>
        </w:r>
      </w:hyperlink>
    </w:p>
    <w:p w:rsidR="00831465" w:rsidRDefault="00831465" w:rsidP="00831465">
      <w:pPr>
        <w:ind w:left="720" w:hanging="720"/>
        <w:rPr>
          <w:color w:val="505151"/>
          <w:szCs w:val="24"/>
          <w:shd w:val="clear" w:color="auto" w:fill="FFFFFF"/>
        </w:rPr>
      </w:pPr>
      <w:r>
        <w:rPr>
          <w:color w:val="1D1D1D"/>
          <w:szCs w:val="24"/>
          <w:shd w:val="clear" w:color="auto" w:fill="FFFFFF"/>
        </w:rPr>
        <w:t xml:space="preserve"> </w:t>
      </w:r>
      <w:hyperlink r:id="rId11" w:history="1">
        <w:r>
          <w:rPr>
            <w:rStyle w:val="Hyperlink"/>
            <w:szCs w:val="24"/>
            <w:u w:val="none"/>
            <w:shd w:val="clear" w:color="auto" w:fill="FFFFFF"/>
          </w:rPr>
          <w:t>https://www.latimes.com/archives/la-xpm-1985-02-03-sp-13402-story.html?_amp=true</w:t>
        </w:r>
      </w:hyperlink>
    </w:p>
    <w:p w:rsidR="00B60A65" w:rsidRDefault="00B60A65">
      <w:pPr>
        <w:ind w:firstLine="284"/>
        <w:rPr>
          <w:szCs w:val="24"/>
        </w:rPr>
      </w:pPr>
    </w:p>
    <w:sectPr w:rsidR="00B60A65">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DDA" w:rsidRDefault="00F17DDA">
      <w:pPr>
        <w:spacing w:line="240" w:lineRule="auto"/>
      </w:pPr>
      <w:r>
        <w:separator/>
      </w:r>
    </w:p>
  </w:endnote>
  <w:endnote w:type="continuationSeparator" w:id="0">
    <w:p w:rsidR="00F17DDA" w:rsidRDefault="00F17D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DDA" w:rsidRDefault="00F17DDA">
      <w:pPr>
        <w:spacing w:line="240" w:lineRule="auto"/>
      </w:pPr>
      <w:r>
        <w:separator/>
      </w:r>
    </w:p>
  </w:footnote>
  <w:footnote w:type="continuationSeparator" w:id="0">
    <w:p w:rsidR="00F17DDA" w:rsidRDefault="00F17DD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A65" w:rsidRDefault="00F17DDA">
    <w:pPr>
      <w:pStyle w:val="Header"/>
      <w:jc w:val="right"/>
    </w:pPr>
    <w:r>
      <w:fldChar w:fldCharType="begin"/>
    </w:r>
    <w:r>
      <w:instrText xml:space="preserve"> PAGE   \* MERGEFORMAT </w:instrText>
    </w:r>
    <w:r>
      <w:fldChar w:fldCharType="separate"/>
    </w:r>
    <w:r w:rsidR="00A7516C">
      <w:rPr>
        <w:noProof/>
      </w:rPr>
      <w:t>3</w:t>
    </w:r>
    <w:r>
      <w:rPr>
        <w:noProof/>
      </w:rPr>
      <w:fldChar w:fldCharType="end"/>
    </w:r>
  </w:p>
  <w:p w:rsidR="00B60A65" w:rsidRDefault="00B60A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A65"/>
    <w:rsid w:val="00177F11"/>
    <w:rsid w:val="00831465"/>
    <w:rsid w:val="00A7516C"/>
    <w:rsid w:val="00B60A65"/>
    <w:rsid w:val="00F1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bCs/>
      <w:szCs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bCs/>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bCs/>
      <w:szCs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latimes.com/archives/la-xpm-1985-02-03-sp-13402-story.html?_amp=tru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times.com/archives/la-xpm-1985-02-03-sp-13402-story.html?_amp=true" TargetMode="External"/><Relationship Id="rId5" Type="http://schemas.openxmlformats.org/officeDocument/2006/relationships/webSettings" Target="webSettings.xml"/><Relationship Id="rId10" Type="http://schemas.openxmlformats.org/officeDocument/2006/relationships/hyperlink" Target="https://law.justia.com/cases/federal/district-courts/FSupp/461/11/2266543/" TargetMode="External"/><Relationship Id="rId4" Type="http://schemas.openxmlformats.org/officeDocument/2006/relationships/settings" Target="settings.xml"/><Relationship Id="rId9" Type="http://schemas.openxmlformats.org/officeDocument/2006/relationships/hyperlink" Target="https://law.justia.com/cases/federal/district-courts/FSupp/461/11/226654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1DA34-FEA1-4DB7-9584-77AF30AE9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1371</Words>
  <Characters>7818</Characters>
  <Application>Microsoft Office Word</Application>
  <DocSecurity>0</DocSecurity>
  <Lines>65</Lines>
  <Paragraphs>18</Paragraphs>
  <ScaleCrop>false</ScaleCrop>
  <Company/>
  <LinksUpToDate>false</LinksUpToDate>
  <CharactersWithSpaces>9171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74</cp:revision>
  <dcterms:created xsi:type="dcterms:W3CDTF">2020-06-14T09:42:00Z</dcterms:created>
  <dcterms:modified xsi:type="dcterms:W3CDTF">2020-06-14T09:47:00Z</dcterms:modified>
</cp:coreProperties>
</file>